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/>
      <w:r>
        <w:pict>
          <v:rect id="_x0000_s1029" o:spid="_x0000_s1029" o:spt="1" style="position:absolute;left:0pt;margin-left:-9.85pt;margin-top:390.75pt;height:236.3pt;width:454.25pt;z-index:251658240;mso-width-relative:page;mso-height-relative:page;" fillcolor="#FFFFFF" filled="t" stroked="f" coordsize="21600,21600">
            <v:path/>
            <v:fill on="t" focussize="0,0"/>
            <v:stroke on="f" joinstyle="miter"/>
            <v:imagedata o:title=""/>
            <o:lock v:ext="edit" aspectratio="f"/>
            <v:textbox>
              <w:txbxContent>
                <w:p>
                  <w:pPr>
                    <w:pStyle w:val="16"/>
                    <w:jc w:val="center"/>
                    <w:rPr>
                      <w:rFonts w:hint="eastAsia"/>
                      <w:b/>
                      <w:bCs/>
                      <w:sz w:val="44"/>
                      <w:szCs w:val="44"/>
                      <w:lang w:val="en-US" w:eastAsia="zh-CN"/>
                    </w:rPr>
                  </w:pPr>
                  <w:bookmarkStart w:id="4" w:name="_Title#3910760528"/>
                  <w:r>
                    <w:rPr>
                      <w:rFonts w:hint="eastAsia"/>
                      <w:b/>
                      <w:bCs/>
                      <w:sz w:val="44"/>
                      <w:szCs w:val="44"/>
                      <w:lang w:val="en-US" w:eastAsia="zh-CN"/>
                    </w:rPr>
                    <w:t>应用产品开发部项目开发工作量评估指</w:t>
                  </w:r>
                  <w:bookmarkEnd w:id="4"/>
                  <w:r>
                    <w:rPr>
                      <w:rFonts w:hint="eastAsia"/>
                      <w:b/>
                      <w:bCs/>
                      <w:sz w:val="44"/>
                      <w:szCs w:val="44"/>
                      <w:lang w:val="en-US" w:eastAsia="zh-CN"/>
                    </w:rPr>
                    <w:t>导</w:t>
                  </w:r>
                </w:p>
                <w:p>
                  <w:pPr>
                    <w:pStyle w:val="16"/>
                    <w:jc w:val="center"/>
                    <w:rPr>
                      <w:rFonts w:hint="eastAsia"/>
                      <w:b/>
                      <w:bCs/>
                      <w:sz w:val="44"/>
                      <w:szCs w:val="44"/>
                      <w:lang w:val="en-US" w:eastAsia="zh-CN"/>
                    </w:rPr>
                  </w:pPr>
                </w:p>
                <w:p>
                  <w:pPr>
                    <w:pStyle w:val="16"/>
                    <w:jc w:val="center"/>
                    <w:rPr>
                      <w:rFonts w:hint="eastAsia"/>
                      <w:b/>
                      <w:bCs/>
                      <w:sz w:val="44"/>
                      <w:szCs w:val="44"/>
                      <w:lang w:val="en-US" w:eastAsia="zh-CN"/>
                    </w:rPr>
                  </w:pPr>
                </w:p>
                <w:p>
                  <w:pPr>
                    <w:pStyle w:val="16"/>
                    <w:jc w:val="center"/>
                    <w:rPr>
                      <w:rFonts w:hint="eastAsia"/>
                      <w:b/>
                      <w:bCs/>
                      <w:sz w:val="44"/>
                      <w:szCs w:val="44"/>
                      <w:lang w:val="en-US" w:eastAsia="zh-CN"/>
                    </w:rPr>
                  </w:pPr>
                </w:p>
                <w:tbl>
                  <w:tblPr>
                    <w:tblStyle w:val="15"/>
                    <w:tblW w:w="9013" w:type="dxa"/>
                    <w:tblInd w:w="0" w:type="dxa"/>
                    <w:tblBorders>
                      <w:top w:val="single" w:color="auto" w:sz="4" w:space="0"/>
                      <w:left w:val="single" w:color="auto" w:sz="4" w:space="0"/>
                      <w:bottom w:val="single" w:color="auto" w:sz="4" w:space="0"/>
                      <w:right w:val="single" w:color="auto" w:sz="4" w:space="0"/>
                      <w:insideH w:val="single" w:color="auto" w:sz="4" w:space="0"/>
                      <w:insideV w:val="single" w:color="auto" w:sz="4" w:space="0"/>
                    </w:tblBorders>
                    <w:tblLayout w:type="fixed"/>
                    <w:tblCellMar>
                      <w:left w:w="108" w:type="dxa"/>
                      <w:right w:w="108" w:type="dxa"/>
                    </w:tblCellMar>
                  </w:tblPr>
                  <w:tblGrid>
                    <w:gridCol w:w="2253"/>
                    <w:gridCol w:w="2253"/>
                    <w:gridCol w:w="2253"/>
                    <w:gridCol w:w="2254"/>
                  </w:tblGrid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Layout w:type="fixed"/>
                      <w:tblCellMar>
                        <w:left w:w="108" w:type="dxa"/>
                        <w:right w:w="108" w:type="dxa"/>
                      </w:tblCellMar>
                    </w:tblPrEx>
                    <w:tc>
                      <w:tcPr>
                        <w:tcW w:w="2253" w:type="dxa"/>
                      </w:tcPr>
                      <w:p>
                        <w:pPr>
                          <w:pStyle w:val="16"/>
                          <w:jc w:val="center"/>
                          <w:rPr>
                            <w:rFonts w:hint="eastAsia" w:eastAsia="宋体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  <w:t>版本</w:t>
                        </w:r>
                      </w:p>
                    </w:tc>
                    <w:tc>
                      <w:tcPr>
                        <w:tcW w:w="2253" w:type="dxa"/>
                      </w:tcPr>
                      <w:p>
                        <w:pPr>
                          <w:pStyle w:val="16"/>
                          <w:jc w:val="center"/>
                          <w:rPr>
                            <w:rFonts w:hint="default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  <w:t>时间</w:t>
                        </w:r>
                      </w:p>
                    </w:tc>
                    <w:tc>
                      <w:tcPr>
                        <w:tcW w:w="2253" w:type="dxa"/>
                      </w:tcPr>
                      <w:p>
                        <w:pPr>
                          <w:pStyle w:val="16"/>
                          <w:jc w:val="center"/>
                          <w:rPr>
                            <w:rFonts w:hint="default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  <w:t>备注</w:t>
                        </w:r>
                      </w:p>
                    </w:tc>
                    <w:tc>
                      <w:tcPr>
                        <w:tcW w:w="2254" w:type="dxa"/>
                      </w:tcPr>
                      <w:p>
                        <w:pPr>
                          <w:pStyle w:val="16"/>
                          <w:jc w:val="center"/>
                          <w:rPr>
                            <w:rFonts w:hint="default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  <w:t>人员</w:t>
                        </w: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Layout w:type="fixed"/>
                      <w:tblCellMar>
                        <w:left w:w="108" w:type="dxa"/>
                        <w:right w:w="108" w:type="dxa"/>
                      </w:tblCellMar>
                    </w:tblPrEx>
                    <w:tc>
                      <w:tcPr>
                        <w:tcW w:w="2253" w:type="dxa"/>
                      </w:tcPr>
                      <w:p>
                        <w:pPr>
                          <w:pStyle w:val="16"/>
                          <w:jc w:val="center"/>
                          <w:rPr>
                            <w:rFonts w:hint="default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  <w:t>0.1</w:t>
                        </w:r>
                      </w:p>
                    </w:tc>
                    <w:tc>
                      <w:tcPr>
                        <w:tcW w:w="2253" w:type="dxa"/>
                      </w:tcPr>
                      <w:p>
                        <w:pPr>
                          <w:pStyle w:val="16"/>
                          <w:jc w:val="center"/>
                          <w:rPr>
                            <w:rFonts w:hint="default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  <w:t>2015-10-15</w:t>
                        </w:r>
                      </w:p>
                    </w:tc>
                    <w:tc>
                      <w:tcPr>
                        <w:tcW w:w="2253" w:type="dxa"/>
                      </w:tcPr>
                      <w:p>
                        <w:pPr>
                          <w:pStyle w:val="16"/>
                          <w:jc w:val="center"/>
                          <w:rPr>
                            <w:rFonts w:hint="default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  <w:t>初稿</w:t>
                        </w:r>
                      </w:p>
                    </w:tc>
                    <w:tc>
                      <w:tcPr>
                        <w:tcW w:w="2254" w:type="dxa"/>
                      </w:tcPr>
                      <w:p>
                        <w:pPr>
                          <w:pStyle w:val="16"/>
                          <w:jc w:val="center"/>
                          <w:rPr>
                            <w:rFonts w:hint="default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  <w:t>陈崇锜</w:t>
                        </w: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Layout w:type="fixed"/>
                      <w:tblCellMar>
                        <w:left w:w="108" w:type="dxa"/>
                        <w:right w:w="108" w:type="dxa"/>
                      </w:tblCellMar>
                    </w:tblPrEx>
                    <w:tc>
                      <w:tcPr>
                        <w:tcW w:w="2253" w:type="dxa"/>
                      </w:tcPr>
                      <w:p>
                        <w:pPr>
                          <w:pStyle w:val="16"/>
                          <w:jc w:val="center"/>
                          <w:rPr>
                            <w:rFonts w:hint="default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  <w:t>1.0</w:t>
                        </w:r>
                      </w:p>
                    </w:tc>
                    <w:tc>
                      <w:tcPr>
                        <w:tcW w:w="2253" w:type="dxa"/>
                      </w:tcPr>
                      <w:p>
                        <w:pPr>
                          <w:pStyle w:val="16"/>
                          <w:jc w:val="center"/>
                          <w:rPr>
                            <w:rFonts w:hint="default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  <w:t>2015-11-20</w:t>
                        </w:r>
                      </w:p>
                    </w:tc>
                    <w:tc>
                      <w:tcPr>
                        <w:tcW w:w="2253" w:type="dxa"/>
                      </w:tcPr>
                      <w:p>
                        <w:pPr>
                          <w:pStyle w:val="16"/>
                          <w:jc w:val="center"/>
                          <w:rPr>
                            <w:rFonts w:hint="default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  <w:t>正式版本</w:t>
                        </w:r>
                      </w:p>
                    </w:tc>
                    <w:tc>
                      <w:tcPr>
                        <w:tcW w:w="2254" w:type="dxa"/>
                      </w:tcPr>
                      <w:p>
                        <w:pPr>
                          <w:pStyle w:val="16"/>
                          <w:jc w:val="center"/>
                          <w:rPr>
                            <w:rFonts w:hint="default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 w:val="0"/>
                            <w:bCs w:val="0"/>
                            <w:sz w:val="32"/>
                            <w:szCs w:val="32"/>
                            <w:vertAlign w:val="baseline"/>
                            <w:lang w:val="en-US" w:eastAsia="zh-CN"/>
                          </w:rPr>
                          <w:t>陈崇锜</w:t>
                        </w:r>
                      </w:p>
                    </w:tc>
                  </w:tr>
                </w:tbl>
                <w:p>
                  <w:pPr>
                    <w:pStyle w:val="16"/>
                    <w:jc w:val="center"/>
                    <w:rPr>
                      <w:rFonts w:hint="default"/>
                      <w:b/>
                      <w:bCs/>
                      <w:sz w:val="44"/>
                      <w:szCs w:val="44"/>
                      <w:lang w:val="en-US" w:eastAsia="zh-CN"/>
                    </w:rPr>
                  </w:pPr>
                </w:p>
              </w:txbxContent>
            </v:textbox>
          </v:rect>
        </w:pic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8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bookmarkStart w:id="5" w:name="_GoBack"/>
      <w:bookmarkEnd w:id="5"/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HYPERLINK \l _Toc26473 </w:instrTex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hint="eastAsia" w:asciiTheme="majorEastAsia" w:hAnsiTheme="majorEastAsia" w:eastAsiaTheme="majorEastAsia" w:cstheme="majorEastAsia"/>
          <w:bCs/>
          <w:kern w:val="2"/>
          <w:szCs w:val="30"/>
          <w:lang w:val="en-US" w:eastAsia="zh-CN" w:bidi="ar-SA"/>
        </w:rPr>
        <w:t>评估策略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_Toc26473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3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8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HYPERLINK \l _Toc831 </w:instrTex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hint="eastAsia" w:asciiTheme="majorEastAsia" w:hAnsiTheme="majorEastAsia" w:eastAsiaTheme="majorEastAsia" w:cstheme="majorEastAsia"/>
          <w:bCs/>
          <w:kern w:val="2"/>
          <w:szCs w:val="30"/>
          <w:lang w:val="en-US" w:eastAsia="zh-CN" w:bidi="ar-SA"/>
        </w:rPr>
        <w:t>日常小型维护性需求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_Toc831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3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8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HYPERLINK \l _Toc27962 </w:instrTex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hint="eastAsia" w:asciiTheme="majorEastAsia" w:hAnsiTheme="majorEastAsia" w:eastAsiaTheme="majorEastAsia" w:cstheme="majorEastAsia"/>
          <w:bCs/>
          <w:kern w:val="2"/>
          <w:szCs w:val="30"/>
          <w:lang w:val="en-US" w:eastAsia="zh-CN" w:bidi="ar-SA"/>
        </w:rPr>
        <w:t>中大型项目及重要版本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_Toc27962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4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pStyle w:val="8"/>
        <w:tabs>
          <w:tab w:val="right" w:leader="dot" w:pos="8306"/>
        </w:tabs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HYPERLINK \l _Toc20351 </w:instrText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hint="eastAsia" w:asciiTheme="majorEastAsia" w:hAnsiTheme="majorEastAsia" w:eastAsiaTheme="majorEastAsia" w:cstheme="majorEastAsia"/>
          <w:bCs/>
          <w:kern w:val="2"/>
          <w:szCs w:val="30"/>
          <w:lang w:val="en-US" w:eastAsia="zh-CN" w:bidi="ar-SA"/>
        </w:rPr>
        <w:t>公司重点项目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ab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begin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instrText xml:space="preserve"> PAGEREF _Toc20351 </w:instrTex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separate"/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t>4</w:t>
      </w:r>
      <w:r>
        <w:rPr>
          <w:rFonts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HAnsi" w:hAnsiTheme="minorHAnsi" w:eastAsiaTheme="minorEastAsia" w:cstheme="minorBidi"/>
          <w:kern w:val="2"/>
          <w:szCs w:val="24"/>
          <w:lang w:val="en-US" w:eastAsia="zh-CN" w:bidi="ar-SA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outlineLvl w:val="0"/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</w:pPr>
      <w:bookmarkStart w:id="0" w:name="_Toc26473"/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  <w:t>评估策略</w:t>
      </w:r>
      <w:bookmarkEnd w:id="0"/>
    </w:p>
    <w:p>
      <w:pPr>
        <w:numPr>
          <w:ilvl w:val="0"/>
          <w:numId w:val="1"/>
        </w:numPr>
        <w:spacing w:line="360" w:lineRule="auto"/>
        <w:ind w:left="0" w:leftChars="0" w:firstLine="400" w:firstLineChars="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功能点评估</w:t>
      </w:r>
    </w:p>
    <w:p>
      <w:pPr>
        <w:numPr>
          <w:ilvl w:val="0"/>
          <w:numId w:val="0"/>
        </w:numPr>
        <w:spacing w:line="360" w:lineRule="auto"/>
        <w:ind w:leftChars="200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按照需求中的细分功能点来评估，例如单JSP页面、部分某个具体服务端实现或者某个具体的API接口，每个功能点的开发工作量按照具体团队的情况决定，一般不超过1人日。</w:t>
      </w:r>
    </w:p>
    <w:p>
      <w:pPr>
        <w:numPr>
          <w:ilvl w:val="0"/>
          <w:numId w:val="0"/>
        </w:numPr>
        <w:spacing w:line="360" w:lineRule="auto"/>
        <w:ind w:leftChars="200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0" w:leftChars="0" w:firstLine="400" w:firstLineChars="0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同类项目参考评估</w:t>
      </w:r>
    </w:p>
    <w:p>
      <w:pPr>
        <w:numPr>
          <w:numId w:val="0"/>
        </w:numPr>
        <w:spacing w:line="360" w:lineRule="auto"/>
        <w:ind w:left="400" w:leftChars="0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以同样类型的业务，并且规模接近为参考，或者同行业其他公司的业务系统也可作为参考标准。但如果直接复制原项目代码，并在其基础上修改的不适合本条参考。</w:t>
      </w:r>
    </w:p>
    <w:p>
      <w:pPr>
        <w:numPr>
          <w:numId w:val="0"/>
        </w:numPr>
        <w:spacing w:line="360" w:lineRule="auto"/>
        <w:ind w:left="400" w:leftChars="0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0" w:leftChars="0" w:firstLine="400" w:firstLineChars="0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开发人员资历参考</w:t>
      </w:r>
    </w:p>
    <w:p>
      <w:pPr>
        <w:widowControl w:val="0"/>
        <w:numPr>
          <w:ilvl w:val="0"/>
          <w:numId w:val="0"/>
        </w:numPr>
        <w:spacing w:line="360" w:lineRule="auto"/>
        <w:ind w:leftChars="200"/>
        <w:jc w:val="both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开发主管在评估排期时，除了正常工作量的估算，还要按照实际开发人员的资历和能力进行排期估算，实习生建议0.5倍人日估算，高级开发建议1.5倍人日估算。</w:t>
      </w:r>
    </w:p>
    <w:p>
      <w:pPr>
        <w:widowControl w:val="0"/>
        <w:numPr>
          <w:numId w:val="0"/>
        </w:numPr>
        <w:spacing w:line="360" w:lineRule="auto"/>
        <w:jc w:val="both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0" w:leftChars="0" w:firstLine="400" w:firstLineChars="0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模块化程度参考</w:t>
      </w:r>
    </w:p>
    <w:p>
      <w:pPr>
        <w:widowControl w:val="0"/>
        <w:numPr>
          <w:ilvl w:val="0"/>
          <w:numId w:val="0"/>
        </w:numPr>
        <w:spacing w:line="360" w:lineRule="auto"/>
        <w:ind w:leftChars="200"/>
        <w:jc w:val="both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如果业务功能是基于公共模块上开发，应视情况考虑减少工作量评估，具体比例按实际情况决定。</w:t>
      </w:r>
    </w:p>
    <w:p>
      <w:pPr>
        <w:widowControl w:val="0"/>
        <w:numPr>
          <w:numId w:val="0"/>
        </w:numPr>
        <w:spacing w:line="360" w:lineRule="auto"/>
        <w:jc w:val="both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0" w:leftChars="0" w:firstLine="400" w:firstLineChars="0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评估单位</w:t>
      </w:r>
    </w:p>
    <w:p>
      <w:pPr>
        <w:numPr>
          <w:numId w:val="0"/>
        </w:numPr>
        <w:spacing w:line="360" w:lineRule="auto"/>
        <w:ind w:left="400" w:leftChars="0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中小型日常需求评估工作量以人日为单位，大型项目以人月为单位。</w:t>
      </w:r>
    </w:p>
    <w:p>
      <w:pPr>
        <w:numPr>
          <w:numId w:val="0"/>
        </w:numPr>
        <w:spacing w:line="360" w:lineRule="auto"/>
        <w:ind w:left="400" w:leftChars="0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0" w:leftChars="0" w:firstLine="400" w:firstLineChars="0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排期依赖</w:t>
      </w:r>
    </w:p>
    <w:p>
      <w:pPr>
        <w:numPr>
          <w:numId w:val="0"/>
        </w:numPr>
        <w:spacing w:line="360" w:lineRule="auto"/>
        <w:ind w:left="400" w:leftChars="0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项目工作量评估结果换算成具体排期前，除了考虑工作总量、开发人员资源、设计架构等因素之外，还有上下游环节的排期影响，并非简单的计算结果。</w:t>
      </w:r>
    </w:p>
    <w:p>
      <w:pPr>
        <w:numPr>
          <w:numId w:val="0"/>
        </w:numPr>
        <w:spacing w:line="360" w:lineRule="auto"/>
        <w:ind w:left="400" w:leftChars="0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</w:p>
    <w:p>
      <w:pPr>
        <w:outlineLvl w:val="0"/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</w:pPr>
      <w:bookmarkStart w:id="1" w:name="_Toc831"/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  <w:t>日常小型维护性需求</w:t>
      </w:r>
      <w:bookmarkEnd w:id="1"/>
    </w:p>
    <w:p>
      <w:pP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流程：高级开发同事评估——&gt;PL/PM审核。</w:t>
      </w:r>
    </w:p>
    <w:p>
      <w:pP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</w:p>
    <w:p>
      <w:pPr>
        <w:outlineLvl w:val="0"/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</w:pPr>
      <w:bookmarkStart w:id="2" w:name="_Toc27962"/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  <w:t>中大型项目及重要版本</w:t>
      </w:r>
      <w:bookmarkEnd w:id="2"/>
    </w:p>
    <w:p>
      <w:pP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流程：团队负责人拆分模块——&gt;高级开发同事评估——&gt;PL/PM审核——&gt;团队负责人确认。</w:t>
      </w:r>
    </w:p>
    <w:p>
      <w:pP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</w:p>
    <w:p>
      <w:pPr>
        <w:outlineLvl w:val="0"/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</w:pPr>
      <w:bookmarkStart w:id="3" w:name="_Toc20351"/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  <w:t>公司重点项目</w:t>
      </w:r>
      <w:bookmarkEnd w:id="3"/>
    </w:p>
    <w:p>
      <w:pPr>
        <w:outlineLvl w:val="9"/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流程：团队负责人拆分模块——&gt;高级开发同事评估——&gt;PL/PM审核——&gt;团队负责人确认——&gt;部门总监确认。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 Medium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Microsoft YaHei UI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Yu Mincho">
    <w:panose1 w:val="02020400000000000000"/>
    <w:charset w:val="80"/>
    <w:family w:val="auto"/>
    <w:pitch w:val="default"/>
    <w:sig w:usb0="800002E7" w:usb1="2AC7FCF0" w:usb2="00000012" w:usb3="00000000" w:csb0="2002009F" w:csb1="00000000"/>
  </w:font>
  <w:font w:name="Axure Handwriting">
    <w:panose1 w:val="020B0402020200020204"/>
    <w:charset w:val="00"/>
    <w:family w:val="auto"/>
    <w:pitch w:val="default"/>
    <w:sig w:usb0="800000AF" w:usb1="4000204A" w:usb2="00000000" w:usb3="00000000" w:csb0="00000001" w:csb1="00000000"/>
  </w:font>
  <w:font w:name="Consolas">
    <w:panose1 w:val="020B0609020204030204"/>
    <w:charset w:val="00"/>
    <w:family w:val="auto"/>
    <w:pitch w:val="default"/>
    <w:sig w:usb0="E00002FF" w:usb1="0000FCFF" w:usb2="00000001" w:usb3="00000000" w:csb0="6000019F" w:csb1="DFD7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Javanese Text">
    <w:panose1 w:val="02000000000000000000"/>
    <w:charset w:val="00"/>
    <w:family w:val="auto"/>
    <w:pitch w:val="default"/>
    <w:sig w:usb0="80000003" w:usb1="00002000" w:usb2="00000000" w:usb3="00000000" w:csb0="00000001" w:csb1="00000000"/>
  </w:font>
  <w:font w:name="Leelawadee UI">
    <w:panose1 w:val="020B0502040204020203"/>
    <w:charset w:val="00"/>
    <w:family w:val="auto"/>
    <w:pitch w:val="default"/>
    <w:sig w:usb0="83000003" w:usb1="00000000" w:usb2="00010000" w:usb3="00000001" w:csb0="00010101" w:csb1="00000000"/>
  </w:font>
  <w:font w:name="Leelawadee UI Semilight">
    <w:panose1 w:val="020B0402040204020203"/>
    <w:charset w:val="00"/>
    <w:family w:val="auto"/>
    <w:pitch w:val="default"/>
    <w:sig w:usb0="83000003" w:usb1="00000000" w:usb2="00010000" w:usb3="00000001" w:csb0="00010101" w:csb1="00000000"/>
  </w:font>
  <w:font w:name="Nirmala UI">
    <w:panose1 w:val="020B0502040204020203"/>
    <w:charset w:val="00"/>
    <w:family w:val="auto"/>
    <w:pitch w:val="default"/>
    <w:sig w:usb0="80FF8023" w:usb1="0000004A" w:usb2="00000200" w:usb3="00040000" w:csb0="00000001" w:csb1="00000000"/>
  </w:font>
  <w:font w:name="Nirmala UI Semilight">
    <w:panose1 w:val="020B0402040204020203"/>
    <w:charset w:val="00"/>
    <w:family w:val="auto"/>
    <w:pitch w:val="default"/>
    <w:sig w:usb0="80FF8023" w:usb1="0000004A" w:usb2="00000200" w:usb3="00040000" w:csb0="0000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Sitka Banner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Display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Small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1"/>
    <w:family w:val="moder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51915616">
    <w:nsid w:val="568A7960"/>
    <w:multiLevelType w:val="singleLevel"/>
    <w:tmpl w:val="568A7960"/>
    <w:lvl w:ilvl="0" w:tentative="1">
      <w:start w:val="1"/>
      <w:numFmt w:val="decimal"/>
      <w:suff w:val="nothing"/>
      <w:lvlText w:val="%1．"/>
      <w:lvlJc w:val="left"/>
      <w:pPr>
        <w:ind w:left="0" w:leftChars="0" w:firstLine="400" w:firstLineChars="0"/>
      </w:pPr>
      <w:rPr>
        <w:rFonts w:hint="default"/>
      </w:rPr>
    </w:lvl>
  </w:abstractNum>
  <w:num w:numId="1">
    <w:abstractNumId w:val="14519156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C9A023C"/>
    <w:rsid w:val="155D099A"/>
    <w:rsid w:val="1D84707B"/>
    <w:rsid w:val="216A315E"/>
    <w:rsid w:val="28C74374"/>
    <w:rsid w:val="303F0333"/>
    <w:rsid w:val="34A15065"/>
    <w:rsid w:val="36977A9E"/>
    <w:rsid w:val="415E1BCB"/>
    <w:rsid w:val="41C668DA"/>
    <w:rsid w:val="527B24DD"/>
    <w:rsid w:val="624D40D3"/>
    <w:rsid w:val="6AAD1694"/>
    <w:rsid w:val="6BDC1264"/>
    <w:rsid w:val="6D3F28C7"/>
    <w:rsid w:val="72192057"/>
    <w:rsid w:val="7CD47ED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7"/>
    <w:basedOn w:val="1"/>
    <w:next w:val="1"/>
    <w:qFormat/>
    <w:uiPriority w:val="0"/>
    <w:pPr>
      <w:ind w:left="2520" w:leftChars="1200"/>
    </w:pPr>
  </w:style>
  <w:style w:type="paragraph" w:styleId="3">
    <w:name w:val="toc 5"/>
    <w:basedOn w:val="1"/>
    <w:next w:val="1"/>
    <w:uiPriority w:val="0"/>
    <w:pPr>
      <w:ind w:left="1680" w:leftChars="800"/>
    </w:pPr>
  </w:style>
  <w:style w:type="paragraph" w:styleId="4">
    <w:name w:val="toc 3"/>
    <w:basedOn w:val="1"/>
    <w:next w:val="1"/>
    <w:uiPriority w:val="0"/>
    <w:pPr>
      <w:ind w:left="840" w:leftChars="400"/>
    </w:pPr>
  </w:style>
  <w:style w:type="paragraph" w:styleId="5">
    <w:name w:val="toc 8"/>
    <w:basedOn w:val="1"/>
    <w:next w:val="1"/>
    <w:uiPriority w:val="0"/>
    <w:pPr>
      <w:ind w:left="2940" w:leftChars="14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20"/>
      <w:lang w:bidi="zh-CN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  <w:szCs w:val="20"/>
      <w:lang w:bidi="zh-CN"/>
    </w:rPr>
  </w:style>
  <w:style w:type="paragraph" w:styleId="8">
    <w:name w:val="toc 1"/>
    <w:basedOn w:val="1"/>
    <w:next w:val="1"/>
    <w:qFormat/>
    <w:uiPriority w:val="0"/>
  </w:style>
  <w:style w:type="paragraph" w:styleId="9">
    <w:name w:val="toc 4"/>
    <w:basedOn w:val="1"/>
    <w:next w:val="1"/>
    <w:qFormat/>
    <w:uiPriority w:val="0"/>
    <w:pPr>
      <w:ind w:left="1260" w:leftChars="600"/>
    </w:pPr>
  </w:style>
  <w:style w:type="paragraph" w:styleId="10">
    <w:name w:val="toc 6"/>
    <w:basedOn w:val="1"/>
    <w:next w:val="1"/>
    <w:uiPriority w:val="0"/>
    <w:pPr>
      <w:ind w:left="2100" w:leftChars="1000"/>
    </w:pPr>
  </w:style>
  <w:style w:type="paragraph" w:styleId="11">
    <w:name w:val="toc 2"/>
    <w:basedOn w:val="1"/>
    <w:next w:val="1"/>
    <w:uiPriority w:val="0"/>
    <w:pPr>
      <w:ind w:left="420" w:leftChars="200"/>
    </w:pPr>
  </w:style>
  <w:style w:type="paragraph" w:styleId="12">
    <w:name w:val="toc 9"/>
    <w:basedOn w:val="1"/>
    <w:next w:val="1"/>
    <w:uiPriority w:val="0"/>
    <w:pPr>
      <w:ind w:left="3360" w:leftChars="1600"/>
    </w:pPr>
  </w:style>
  <w:style w:type="table" w:styleId="15">
    <w:name w:val="Table Grid"/>
    <w:basedOn w:val="1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6">
    <w:name w:val="No Spacing"/>
    <w:link w:val="17"/>
    <w:uiPriority w:val="0"/>
    <w:rPr>
      <w:rFonts w:hint="default" w:ascii="Times New Roman" w:hAnsi="Times New Roman" w:eastAsia="宋体" w:cstheme="minorBidi"/>
      <w:sz w:val="22"/>
    </w:rPr>
  </w:style>
  <w:style w:type="character" w:customStyle="1" w:styleId="17">
    <w:name w:val="无间隔 Char"/>
    <w:basedOn w:val="13"/>
    <w:link w:val="16"/>
    <w:uiPriority w:val="0"/>
    <w:rPr>
      <w:rFonts w:hint="default" w:ascii="Times New Roman" w:hAnsi="Times New Roman" w:eastAsia="宋体"/>
      <w:sz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riddle\Normal.wp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格纹型"/>
    </customSectPr>
    <customSectPr>
      <sectNamePr val="目录页"/>
    </customSectPr>
    <customSectPr/>
  </customSectProps>
  <customShpExts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2016-01-04T08:38:00Z</dcterms:created>
  <dc:creator>pc</dc:creator>
  <cp:lastModifiedBy>riddle</cp:lastModifiedBy>
  <dcterms:modified xsi:type="dcterms:W3CDTF">2016-01-04T14:29:26Z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